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36"/>
          <w:szCs w:val="36"/>
        </w:rPr>
        <w:t>ЗЕМСКОЕ СОБРАНИЕ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ЛУЧКОВСКОГО СЕЛЬСКОГО ПОСЕЛЕНИЯ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>муниципального района «Прохоровский район»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Белгородской области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пятьдесят седьмое  заседание четвертого созыва</w:t>
      </w:r>
    </w:p>
    <w:tbl>
      <w:tblPr>
        <w:tblW w:w="9531" w:type="dxa"/>
        <w:jc w:val="left"/>
        <w:tblInd w:w="-212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12"/>
        <w:gridCol w:w="426"/>
        <w:gridCol w:w="284"/>
        <w:gridCol w:w="1932"/>
        <w:gridCol w:w="606"/>
        <w:gridCol w:w="776"/>
        <w:gridCol w:w="1909"/>
        <w:gridCol w:w="929"/>
        <w:gridCol w:w="1044"/>
        <w:gridCol w:w="812"/>
      </w:tblGrid>
      <w:tr>
        <w:trPr>
          <w:trHeight w:val="431" w:hRule="atLeast"/>
        </w:trPr>
        <w:tc>
          <w:tcPr>
            <w:tcW w:w="4060" w:type="dxa"/>
            <w:gridSpan w:val="5"/>
            <w:tcBorders/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85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785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</w:p>
        </w:tc>
      </w:tr>
      <w:tr>
        <w:trPr>
          <w:trHeight w:val="87" w:hRule="atLeast"/>
        </w:trPr>
        <w:tc>
          <w:tcPr>
            <w:tcW w:w="3454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«2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» декабря 2021 года                                                     </w:t>
            </w:r>
          </w:p>
        </w:tc>
        <w:tc>
          <w:tcPr>
            <w:tcW w:w="1382" w:type="dxa"/>
            <w:gridSpan w:val="2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909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785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116/1</w:t>
            </w:r>
          </w:p>
        </w:tc>
      </w:tr>
      <w:tr>
        <w:trPr>
          <w:trHeight w:val="104" w:hRule="atLeast"/>
        </w:trPr>
        <w:tc>
          <w:tcPr>
            <w:tcW w:w="812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09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29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44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12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/>
      </w:r>
    </w:p>
    <w:p>
      <w:pPr>
        <w:pStyle w:val="Normal"/>
        <w:spacing w:before="0" w:afterAutospacing="1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 муниципальном дорожном фонде                                                                                      Лучковского сельского поселения                                                                                        муниципального района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«Прохоровский район»                                                                                                        Белгородской области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, порядке его формирования                                                                                  и использования</w:t>
      </w:r>
    </w:p>
    <w:p>
      <w:pPr>
        <w:pStyle w:val="32"/>
        <w:shd w:val="clear" w:color="auto" w:fill="auto"/>
        <w:spacing w:lineRule="auto" w:line="276" w:before="0" w:after="120"/>
        <w:ind w:left="20" w:right="20" w:firstLine="560"/>
        <w:jc w:val="both"/>
        <w:rPr>
          <w:sz w:val="22"/>
          <w:szCs w:val="22"/>
        </w:rPr>
      </w:pPr>
      <w:r>
        <w:rPr>
          <w:sz w:val="28"/>
          <w:szCs w:val="28"/>
          <w:lang w:eastAsia="ru-RU"/>
        </w:rPr>
        <w:tab/>
        <w:t xml:space="preserve">В соответствии со статьей 179.4 Бюджетного кодекса Российской Федерации, </w:t>
      </w:r>
      <w:r>
        <w:rPr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Лучковского сельского поселения муниципального района «Прохоровский район» Белгородской  области, Земское собрание Лучковского сельского поселения муниципального района «Прохоровский район» Белгородской  области РЕШИЛО: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 </w:t>
      </w:r>
      <w:r>
        <w:rPr>
          <w:rFonts w:cs="Times New Roman" w:ascii="Times New Roman" w:hAnsi="Times New Roman"/>
          <w:sz w:val="28"/>
          <w:szCs w:val="28"/>
        </w:rPr>
        <w:t>Утвердить Положение о муниципальном дорожном фонде Лучковского сельского поселения муниципального района «Прохоровский район» Белгородской  области, согласно приложению 1.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cs="Times New Roman" w:ascii="Times New Roman" w:hAnsi="Times New Roman"/>
          <w:sz w:val="28"/>
          <w:szCs w:val="28"/>
        </w:rPr>
        <w:t xml:space="preserve"> Утвердить Порядок формирования и использования бюджетных ассигнований дорожного фонда Лучковского сельского поселения муниципального района «Прохоровский район» Белгородской  области, согласно приложению 2.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3. Отменить решение Земского собрания Лучковского сельского поселения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.201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«О дорожном фонде Лучковского сельского поселения, порядке его формирования и использования».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4. Разместить решение на официальном сайте поселения.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Глава Лучковского                                                         К.Г. Добрынина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1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решению Земского собрания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Лучковского сельского</w:t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поселения 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29.12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.2021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116/1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О МУНИЦИПАЛЬНОМ ДОРОЖНОМ ФО</w:t>
      </w:r>
      <w:r>
        <w:rPr>
          <w:rStyle w:val="31"/>
          <w:rFonts w:eastAsia="Calibri" w:eastAsiaTheme="minorHAnsi"/>
          <w:b w:val="false"/>
          <w:bCs w:val="false"/>
          <w:sz w:val="28"/>
          <w:szCs w:val="28"/>
          <w:u w:val="none"/>
        </w:rPr>
        <w:t>Н</w:t>
      </w:r>
      <w:r>
        <w:rPr>
          <w:rFonts w:cs="Times New Roman" w:ascii="Times New Roman" w:hAnsi="Times New Roman"/>
          <w:b/>
          <w:sz w:val="28"/>
          <w:szCs w:val="28"/>
        </w:rPr>
        <w:t>ДЕ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Лучковского СЕЛЬСКОГО ПОСЕЛЕНИЯ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РАЙОНА «ПРОХОРОВСКИЙ РАЙОН»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БЕЛГОРОДСКОЙ ОБЛАСТИ</w:t>
      </w:r>
    </w:p>
    <w:p>
      <w:pPr>
        <w:pStyle w:val="Normal"/>
        <w:spacing w:before="0" w:after="0"/>
        <w:ind w:left="460" w:right="3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30" w:leader="none"/>
        </w:tabs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Normal"/>
        <w:widowControl w:val="false"/>
        <w:tabs>
          <w:tab w:val="clear" w:pos="708"/>
          <w:tab w:val="left" w:pos="23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32"/>
        <w:numPr>
          <w:ilvl w:val="1"/>
          <w:numId w:val="1"/>
        </w:numPr>
        <w:shd w:val="clear" w:color="auto" w:fill="auto"/>
        <w:tabs>
          <w:tab w:val="clear" w:pos="708"/>
          <w:tab w:val="left" w:pos="222" w:leader="none"/>
          <w:tab w:val="left" w:pos="1278" w:leader="none"/>
        </w:tabs>
        <w:spacing w:lineRule="auto" w:line="276" w:before="0" w:after="0"/>
        <w:ind w:left="20" w:right="20" w:firstLine="760"/>
        <w:jc w:val="both"/>
        <w:rPr>
          <w:sz w:val="22"/>
          <w:szCs w:val="22"/>
        </w:rPr>
      </w:pPr>
      <w:r>
        <w:rPr>
          <w:sz w:val="28"/>
          <w:szCs w:val="28"/>
        </w:rPr>
        <w:t>Настоящее Положение о муниципальном дорожном фонде Лучковского сельского поселения муниципального района «Прохоровский район» Белгородской  области (далее - Положение) разработано в соответствии с пунктом 5 статьи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в целях определения порядка формирования и использования бюджетных ассигнований дорожного фонда Лучковского сельского поселения (далее - дорожный фонд).</w:t>
      </w:r>
    </w:p>
    <w:p>
      <w:pPr>
        <w:pStyle w:val="32"/>
        <w:numPr>
          <w:ilvl w:val="1"/>
          <w:numId w:val="1"/>
        </w:numPr>
        <w:shd w:val="clear" w:color="auto" w:fill="auto"/>
        <w:tabs>
          <w:tab w:val="clear" w:pos="708"/>
          <w:tab w:val="left" w:pos="1244" w:leader="none"/>
        </w:tabs>
        <w:spacing w:lineRule="auto" w:line="276" w:before="0" w:after="0"/>
        <w:ind w:left="20" w:right="20" w:firstLine="760"/>
        <w:jc w:val="both"/>
        <w:rPr>
          <w:sz w:val="22"/>
          <w:szCs w:val="22"/>
        </w:rPr>
      </w:pPr>
      <w:r>
        <w:rPr>
          <w:sz w:val="28"/>
          <w:szCs w:val="28"/>
        </w:rPr>
        <w:t>Дорожный фонд Лучковского сельского поселения - часть средств бюджета Лучковского сельского поселения муниципального района «Прохоровский район» Белгородской области,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>
      <w:pPr>
        <w:pStyle w:val="32"/>
        <w:numPr>
          <w:ilvl w:val="1"/>
          <w:numId w:val="1"/>
        </w:numPr>
        <w:shd w:val="clear" w:color="auto" w:fill="auto"/>
        <w:tabs>
          <w:tab w:val="clear" w:pos="708"/>
          <w:tab w:val="left" w:pos="1244" w:leader="none"/>
        </w:tabs>
        <w:spacing w:lineRule="auto" w:line="276" w:before="0" w:after="0"/>
        <w:ind w:left="20" w:right="20" w:firstLine="760"/>
        <w:jc w:val="both"/>
        <w:rPr>
          <w:sz w:val="22"/>
          <w:szCs w:val="22"/>
        </w:rPr>
      </w:pPr>
      <w:r>
        <w:rPr>
          <w:sz w:val="28"/>
          <w:szCs w:val="28"/>
        </w:rPr>
        <w:t>Средства дорожного фонда сельского поселения имеют целевое назначение и не подлежат изъятию или расходованию на нужды, не связанные с обеспечением дорожной деятельности.</w:t>
      </w:r>
    </w:p>
    <w:p>
      <w:pPr>
        <w:pStyle w:val="32"/>
        <w:shd w:val="clear" w:color="auto" w:fill="auto"/>
        <w:tabs>
          <w:tab w:val="clear" w:pos="708"/>
          <w:tab w:val="left" w:pos="1244" w:leader="none"/>
        </w:tabs>
        <w:spacing w:lineRule="auto" w:line="276" w:before="0" w:after="0"/>
        <w:ind w:left="78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2. Формирование дорожного фонда сельского поселения.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2.1. Объем бюджетных ассигнований дорожного фонда сельского поселения утверждается решением Земского собрания </w:t>
      </w:r>
      <w:r>
        <w:rPr>
          <w:rFonts w:cs="Times New Roman" w:ascii="Times New Roman" w:hAnsi="Times New Roman"/>
          <w:sz w:val="28"/>
          <w:szCs w:val="28"/>
        </w:rPr>
        <w:t>Лучковского сельского поселения о бюджете сельского поселения на очередной финансовый год и плановый период (далее - местный бюджет) в размере не менее прогнозируемого объема доходов, подлежащих зачислению в местный бюджет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от: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1) поступлений в виде иных межбюджетных трансфертов из бюджета муниципального района «Прохоровский район» на финансовое обеспечение дорожной деятельности в отношении автомобильных дорог местного значения в соответствии с заключенными соглашениями;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сельского поселения;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поселения;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денежных средств, поступающих в бюджет сельского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сельского поселения, или в связи с уклонением от заключения таких контракта или иных договоров;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2.2. Объем бюджетных ассигнований дорожного фонда поселения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бюджета поселения, установленным пунктом 2.1. настоящего Положения.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Для целей настоящего Порядка под фактическим объемом бюджетных ассигнований дорожного фонда поселения понимаются бюджетные ассигнования дорожного фонда поселения в соответствии с утвержденной сводной бюджетной росписью бюджета поселения по состоянию на 31 декабря отчетного года, за исключением бюджетных ассигнований дорожного фонда поселения, направленных на увеличение ассигнований дорожного фонда поселения в отчетном финансовом году путем внесения изменений в сводную бюджетную роспись бюджета поселения без внесения изменений в решение о бюджете поселения на соответствующий финансовый год и на плановый период в связи с неполным использованием в году, предшествующем отчетному финансовому году, безвозмездных поступлений от физических и юридических лиц.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2.3. Бюджетные ассигнования дорожного фонда поселения, не использованные в текущем финансовом году, направляются на увеличение бюджетных ассигнований дорожного фонда поселения в очередном финансовом году путем внесения в установленном порядке изменений в сводную бюджетную роспись бюджета поселения и лимиты бюджетных обязательств.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2.4. Главным распорядителем бюджетных средств дорожного фонда поселения является Администрация Лучковского сельского поселения.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2.5. Перечисление безвозмездных поступлений от физического или юридического лица на финансовое обеспечение дорожной деятельности в отношении автомобильных дорог общего пользования местного значения поселения, в том числе добровольные пожертвования, в доходы дорожного фонда поселения осуществляется после заключения договора пожертвования между указанным физическим или юридическим лицом с одной стороны и главным распорядителем бюджетных средств дорожного фонда поселения с другой стороны.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Указанные безвозмездные поступления от физических и юридических лиц направляются на увеличение бюджетных ассигнований дорожного фонда поселения путем внесения в установленном порядке изменений в сводную бюджетную роспись бюджета поселения и лимиты бюджетных обязательств после подтверждения поступления указанных средств территориальным органом Федерального казначейства.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2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решению Земского собрания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Лучковского сельского</w:t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поселения 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.12.2021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116/1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ПОРЯДОК ФОРМИРОВАНИЯ И ИСПОЛЬЗОВАНИЯ СРЕДСТВ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ДОРОЖНОГО ФО</w:t>
      </w:r>
      <w:r>
        <w:rPr>
          <w:rStyle w:val="31"/>
          <w:rFonts w:eastAsia="Calibri" w:eastAsiaTheme="minorHAnsi"/>
          <w:b w:val="false"/>
          <w:bCs w:val="false"/>
          <w:sz w:val="28"/>
          <w:szCs w:val="28"/>
          <w:u w:val="none"/>
        </w:rPr>
        <w:t>Н</w:t>
      </w:r>
      <w:r>
        <w:rPr>
          <w:rFonts w:cs="Times New Roman" w:ascii="Times New Roman" w:hAnsi="Times New Roman"/>
          <w:b/>
          <w:sz w:val="28"/>
          <w:szCs w:val="28"/>
        </w:rPr>
        <w:t>ДА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Лучковского СЕЛЬСКОГО ПОСЕЛЕНИЯ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РАЙОНА «ПРОХОРОВСКИЙ РАЙОН»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БЕЛГОРОДСКОЙ ОБЛАСТИ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left="64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1. Настоящий Порядок устанавливает правила формирования и использования средств дорожного фонда Лучковского сельского поселения муниципального района «Прохоровский район» Белгородской  области (далее - Фонд).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2. Для целей настоящего Порядка используются понятия, установленные Положением о создании Фонда.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3. Формирование средств Фонда осуществляется при подготовке проекта решения о бюджете Лучковского сельского поселения муниципального района «Прохоровский район» Белгородской  области на очередной финансовый год.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4. Объем средств Фонда на очередной финансовый год утверждается в размере не менее прогнозируемого объема средств, установленных пунктом 4 Положения о создании дорожного фонда.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5. Порядок использования средств дорожного фонда сельского поселения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5.1. Распределение бюджетных ассигнований дорожного фонда сельского поселения на очередной финансовый год и плановый период осуществляется по следующим направлениям: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- капитальный ремонт и ремонт автомобильных дорог;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- деятельность по содержанию автомобильных дорог;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- инвентаризация, паспортизация, диагностика, обследование автомобильных дорог и искусственных сооружений на них, проведение кадастровых работ, регистрация прав в отношении земельных участков, занимаемых автомобильными дорогами,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- оплата налогов и прочих обязательных платежей в части дорожного хозяйства;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- капитальный ремонт и ремонт дворовых территорий многоквартирных домов, проездов к дворовым территориям многоквартирных домов населенных пунктов, расположенных на территории сельского поселения;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- оформление прав собственности на автомобильные дороги и земельные участки под ними;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- проведение иных мероприятий, направленных на финансовое обеспечение дорожной деятельности.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5.2. Использование бюджетных ассигнований дорожного фонда сельского поселения осуществляется соответствующим главным распорядителем средств местного бюджета в порядке, предусмотренном бюджетным законодательством и в соответствии с доведенными бюджетными ассигнованиями на осуществление расходов по направлениям, указанным в пункте 5.1. настоящего Положения.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5.3. Ответственность за целевое использование бюджетных ассигнований дорожного фонда сельского поселения несет главный распорядитель бюджетных средств.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5.4. Главный распорядитель бюджетных средств ведет учет и анализ использованных средств дорожного фонда сельского поселения, а также составляет отчет об использовании средств дорожного фонда сельского поселения.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5.5. Отчет об использовании бюджетных ассигнований дорожного фонда представляется в составе бюджетной отчетности об исполнении бюджета Лучковского сельского поселения муниципального района «Прохоровский район» Белгородской  области Земскому собранию Лучковского сельского поселения в срок до 1 апреля года, следующего за отчетным, одновременно с годовым отчетом об исполнении бюджета Лучковского сельского поселения муниципального района «Прохоровский район» Белгородской  области по форме, согласно приложению к настоящему Порядку.</w:t>
      </w:r>
    </w:p>
    <w:p>
      <w:pPr>
        <w:pStyle w:val="32"/>
        <w:shd w:val="clear" w:color="auto" w:fill="auto"/>
        <w:tabs>
          <w:tab w:val="clear" w:pos="708"/>
          <w:tab w:val="left" w:pos="966" w:leader="none"/>
        </w:tabs>
        <w:spacing w:lineRule="auto" w:line="276" w:before="0" w:after="0"/>
        <w:ind w:right="20" w:firstLine="640"/>
        <w:jc w:val="both"/>
        <w:rPr>
          <w:sz w:val="22"/>
          <w:szCs w:val="22"/>
        </w:rPr>
      </w:pPr>
      <w:r>
        <w:rPr>
          <w:sz w:val="28"/>
          <w:szCs w:val="28"/>
        </w:rPr>
        <w:t>5.6. Контроль за расходованием бюджетных ассигнований дорожного фонда сельского поселения осуществляется в соответствии с бюджетным законодательством, Уставом Лучковского сельского поселения муниципального района «Прохоровский район» Белгородской  области и иными муниципальными правовыми актами.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Приложение 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Порядку формирования и использования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средств дорожного фонда Лучковского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сельского поселения муниципального района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«Прохоровский район»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Белгородской  области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ОТЧЕТ ОБ  ИСПОЛЬЗОВАНИИ СРЕДСТВ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ДОРОЖНОГО ФО</w:t>
      </w:r>
      <w:r>
        <w:rPr>
          <w:rStyle w:val="31"/>
          <w:rFonts w:eastAsia="Calibri" w:eastAsiaTheme="minorHAnsi"/>
          <w:b w:val="false"/>
          <w:bCs w:val="false"/>
          <w:sz w:val="28"/>
          <w:szCs w:val="28"/>
          <w:u w:val="none"/>
        </w:rPr>
        <w:t>Н</w:t>
      </w:r>
      <w:r>
        <w:rPr>
          <w:rFonts w:cs="Times New Roman" w:ascii="Times New Roman" w:hAnsi="Times New Roman"/>
          <w:b/>
          <w:sz w:val="28"/>
          <w:szCs w:val="28"/>
        </w:rPr>
        <w:t>ДА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Лучковского СЕЛЬСКОГО ПОСЕЛЕНИЯ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РАЙОНА «ПРОХОРОВСКИЙ РАЙОН»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БЕЛГОРОДСКОЙ ОБЛАСТИ ЗА _________ГОД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8"/>
          <w:szCs w:val="28"/>
        </w:rPr>
        <w:t>рублей</w:t>
      </w:r>
    </w:p>
    <w:tbl>
      <w:tblPr>
        <w:tblStyle w:val="a6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14"/>
        <w:gridCol w:w="1914"/>
        <w:gridCol w:w="1914"/>
        <w:gridCol w:w="1914"/>
        <w:gridCol w:w="1915"/>
      </w:tblGrid>
      <w:tr>
        <w:trPr/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Направления расходования средств дорожного фонда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Предусмотрено на год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Кассовый расход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Процент исполнения</w:t>
            </w:r>
          </w:p>
        </w:tc>
        <w:tc>
          <w:tcPr>
            <w:tcW w:w="191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Примечание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(указываются физические показатели, причины не исполнения, др.)</w:t>
            </w:r>
          </w:p>
        </w:tc>
      </w:tr>
      <w:tr>
        <w:trPr/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>
        <w:trPr>
          <w:trHeight w:val="359" w:hRule="atLeast"/>
        </w:trPr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1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21" w:hRule="atLeast"/>
        </w:trPr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1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12" w:hRule="atLeast"/>
        </w:trPr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1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_______________________________      </w:t>
        <w:tab/>
        <w:t xml:space="preserve">_________ </w:t>
        <w:tab/>
        <w:t xml:space="preserve"> ____________________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(должность лица, имеющего право подписи)</w:t>
        <w:tab/>
        <w:tab/>
        <w:tab/>
        <w:t>(подпись)</w:t>
        <w:tab/>
        <w:tab/>
        <w:tab/>
        <w:t>(Ф.И.О.)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1"/>
        <w:i w:val="false"/>
        <w:u w:val="none"/>
        <w:b/>
        <w:szCs w:val="24"/>
        <w:iCs w:val="false"/>
        <w:bCs/>
        <w:w w:val="100"/>
        <w:rFonts w:ascii="Times New Roman" w:hAnsi="Times New Roman" w:eastAsia="Times New Roman" w:cs="Times New Roman"/>
        <w:color w:val="000000"/>
        <w:lang w:val="ru-RU"/>
      </w:rPr>
    </w:lvl>
    <w:lvl w:ilvl="1">
      <w:start w:val="1"/>
      <w:numFmt w:val="decimal"/>
      <w:lvlText w:val="%1.%2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3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522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1d67"/>
    <w:rPr>
      <w:b/>
      <w:bCs/>
    </w:rPr>
  </w:style>
  <w:style w:type="character" w:styleId="Style14" w:customStyle="1">
    <w:name w:val="Основной текст_"/>
    <w:basedOn w:val="DefaultParagraphFont"/>
    <w:link w:val="3"/>
    <w:qFormat/>
    <w:rsid w:val="00916d4d"/>
    <w:rPr>
      <w:rFonts w:ascii="Times New Roman" w:hAnsi="Times New Roman" w:eastAsia="Times New Roman" w:cs="Times New Roman"/>
      <w:spacing w:val="3"/>
      <w:sz w:val="21"/>
      <w:szCs w:val="21"/>
      <w:shd w:fill="FFFFFF" w:val="clear"/>
    </w:rPr>
  </w:style>
  <w:style w:type="character" w:styleId="3" w:customStyle="1">
    <w:name w:val="Основной текст (3)_"/>
    <w:basedOn w:val="DefaultParagraphFont"/>
    <w:qFormat/>
    <w:rsid w:val="00234d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"/>
      <w:sz w:val="22"/>
      <w:szCs w:val="22"/>
      <w:u w:val="none"/>
    </w:rPr>
  </w:style>
  <w:style w:type="character" w:styleId="31" w:customStyle="1">
    <w:name w:val="Основной текст (3)"/>
    <w:basedOn w:val="3"/>
    <w:qFormat/>
    <w:rsid w:val="00234dfd"/>
    <w:rPr>
      <w:color w:val="000000"/>
      <w:w w:val="10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961d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2" w:customStyle="1">
    <w:name w:val="Основной текст3"/>
    <w:basedOn w:val="Normal"/>
    <w:link w:val="a5"/>
    <w:qFormat/>
    <w:rsid w:val="00916d4d"/>
    <w:pPr>
      <w:widowControl w:val="false"/>
      <w:shd w:val="clear" w:color="auto" w:fill="FFFFFF"/>
      <w:spacing w:lineRule="exact" w:line="317" w:before="660" w:after="300"/>
      <w:jc w:val="center"/>
    </w:pPr>
    <w:rPr>
      <w:rFonts w:ascii="Times New Roman" w:hAnsi="Times New Roman" w:eastAsia="Times New Roman" w:cs="Times New Roman"/>
      <w:spacing w:val="3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c4cb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D26EA-C9CD-4EC6-9EC0-7B3AAA34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LibreOffice/6.3.5.2$Linux_X86_64 LibreOffice_project/30$Build-2</Application>
  <Pages>8</Pages>
  <Words>1363</Words>
  <Characters>10296</Characters>
  <CharactersWithSpaces>12096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2022-02-03T06:30:00Z</dcterms:created>
  <dc:creator>User</dc:creator>
  <dc:description/>
  <dc:language>ru-RU</dc:language>
  <cp:lastModifiedBy/>
  <cp:lastPrinted>2022-02-03T10:26:00Z</cp:lastPrinted>
  <dcterms:modified xsi:type="dcterms:W3CDTF">2022-02-03T15:20:21Z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